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3bis</w:t>
      </w:r>
      <w:r>
        <w:rPr>
          <w:sz w:val="24"/>
          <w:szCs w:val="24"/>
        </w:rPr>
        <w:tab/>
      </w:r>
      <w:r>
        <w:rPr>
          <w:sz w:val="24"/>
          <w:szCs w:val="24"/>
        </w:rPr>
        <w:t>R2-2</w:t>
      </w:r>
      <w:r>
        <w:rPr>
          <w:rFonts w:hint="eastAsia" w:eastAsia="宋体"/>
          <w:sz w:val="24"/>
          <w:szCs w:val="24"/>
          <w:lang w:val="en-US" w:eastAsia="zh-CN"/>
        </w:rPr>
        <w:t>309973</w:t>
      </w:r>
    </w:p>
    <w:p>
      <w:pPr>
        <w:pStyle w:val="33"/>
        <w:tabs>
          <w:tab w:val="left" w:pos="1701"/>
          <w:tab w:val="right" w:pos="9923"/>
        </w:tabs>
        <w:rPr>
          <w:sz w:val="24"/>
          <w:szCs w:val="24"/>
        </w:rPr>
      </w:pPr>
      <w:r>
        <w:rPr>
          <w:rFonts w:hint="eastAsia" w:eastAsia="宋体"/>
          <w:sz w:val="24"/>
          <w:szCs w:val="24"/>
          <w:lang w:val="en-US" w:eastAsia="zh-CN"/>
        </w:rPr>
        <w:t>Xiamen</w:t>
      </w:r>
      <w:r>
        <w:rPr>
          <w:sz w:val="24"/>
          <w:szCs w:val="24"/>
        </w:rPr>
        <w:t xml:space="preserve">, </w:t>
      </w:r>
      <w:r>
        <w:rPr>
          <w:rFonts w:hint="eastAsia" w:eastAsia="宋体"/>
          <w:sz w:val="24"/>
          <w:szCs w:val="24"/>
          <w:lang w:val="en-US" w:eastAsia="zh-CN"/>
        </w:rPr>
        <w:t>China</w:t>
      </w:r>
      <w:r>
        <w:rPr>
          <w:sz w:val="24"/>
          <w:szCs w:val="24"/>
        </w:rPr>
        <w:t xml:space="preserve">, </w:t>
      </w:r>
      <w:r>
        <w:rPr>
          <w:rFonts w:hint="eastAsia" w:eastAsia="宋体"/>
          <w:sz w:val="24"/>
          <w:szCs w:val="24"/>
          <w:lang w:val="en-US" w:eastAsia="zh-CN"/>
        </w:rPr>
        <w:t>October</w:t>
      </w:r>
      <w:r>
        <w:rPr>
          <w:sz w:val="24"/>
          <w:szCs w:val="24"/>
        </w:rPr>
        <w:t xml:space="preserve"> </w:t>
      </w:r>
      <w:r>
        <w:rPr>
          <w:rFonts w:hint="eastAsia" w:eastAsia="宋体"/>
          <w:sz w:val="24"/>
          <w:szCs w:val="24"/>
          <w:lang w:val="en-US" w:eastAsia="zh-CN"/>
        </w:rPr>
        <w:t>9</w:t>
      </w:r>
      <w:r>
        <w:rPr>
          <w:sz w:val="24"/>
          <w:szCs w:val="24"/>
        </w:rPr>
        <w:t>-</w:t>
      </w:r>
      <w:r>
        <w:rPr>
          <w:rFonts w:hint="eastAsia" w:eastAsia="宋体"/>
          <w:sz w:val="24"/>
          <w:szCs w:val="24"/>
          <w:lang w:val="en-US" w:eastAsia="zh-CN"/>
        </w:rPr>
        <w:t>13</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w:t>
      </w:r>
      <w:r>
        <w:rPr>
          <w:rFonts w:hint="default" w:ascii="Arial" w:hAnsi="Arial" w:cs="Arial"/>
          <w:b/>
          <w:bCs w:val="0"/>
          <w:sz w:val="24"/>
          <w:szCs w:val="24"/>
          <w:lang w:val="en-US" w:eastAsia="zh-CN"/>
        </w:rPr>
        <w:t xml:space="preserve"> </w:t>
      </w:r>
      <w:r>
        <w:rPr>
          <w:rFonts w:hint="default" w:ascii="Arial" w:hAnsi="Arial" w:cs="Arial"/>
          <w:b/>
          <w:bCs w:val="0"/>
          <w:sz w:val="24"/>
          <w:szCs w:val="24"/>
        </w:rPr>
        <w:t>Idle/Inactive mode</w:t>
      </w:r>
      <w:r>
        <w:rPr>
          <w:rFonts w:hint="default" w:ascii="Arial" w:hAnsi="Arial" w:cs="Arial"/>
          <w:b/>
          <w:bCs w:val="0"/>
          <w:sz w:val="24"/>
          <w:szCs w:val="24"/>
          <w:lang w:val="en-US" w:eastAsia="zh-CN"/>
        </w:rPr>
        <w:t xml:space="preserve"> UE</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rFonts w:hint="eastAsia"/>
          <w:lang w:val="en-US" w:eastAsia="zh-CN"/>
        </w:rPr>
        <w:t>During RAN2#1</w:t>
      </w:r>
      <w:r>
        <w:rPr>
          <w:lang w:val="en-US" w:eastAsia="zh-CN"/>
        </w:rPr>
        <w:t>2</w:t>
      </w:r>
      <w:r>
        <w:rPr>
          <w:rFonts w:hint="eastAsia"/>
          <w:lang w:val="en-US" w:eastAsia="zh-CN"/>
        </w:rPr>
        <w:t xml:space="preserve">3 meeting, the mobility enhancements for </w:t>
      </w:r>
      <w:r>
        <w:rPr>
          <w:rFonts w:hint="eastAsia" w:ascii="Times New Roman" w:hAnsi="Times New Roman" w:cs="Times New Roman"/>
          <w:b w:val="0"/>
          <w:bCs w:val="0"/>
          <w:sz w:val="20"/>
          <w:szCs w:val="20"/>
          <w:lang w:val="en-US" w:eastAsia="zh-CN"/>
        </w:rPr>
        <w:t>Idle/Inactive mode UE</w:t>
      </w:r>
      <w:r>
        <w:rPr>
          <w:rFonts w:hint="eastAsia"/>
          <w:lang w:val="en-US" w:eastAsia="zh-CN"/>
        </w:rPr>
        <w:t xml:space="preserve"> was discussed and the following agreement was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Borders>
              <w:top w:val="single" w:color="auto" w:sz="4" w:space="0"/>
              <w:left w:val="single" w:color="auto" w:sz="4" w:space="0"/>
              <w:bottom w:val="single" w:color="auto" w:sz="4" w:space="0"/>
              <w:right w:val="single" w:color="auto" w:sz="4" w:space="0"/>
            </w:tcBorders>
          </w:tcPr>
          <w:p>
            <w:pPr>
              <w:pStyle w:val="108"/>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pPr>
              <w:pStyle w:val="108"/>
            </w:pPr>
            <w:r>
              <w:t xml:space="preserve">No enhancement is needed for intra-frequency and equal-priority cell reselection. </w:t>
            </w:r>
          </w:p>
          <w:p>
            <w:pPr>
              <w:pStyle w:val="108"/>
            </w:pPr>
            <w:r>
              <w:t xml:space="preserve">The procedure that UE searches and measure for mIAB cells on different frequencies is unspecified. RAN2 assumes that As assistance information, the NW can optionally provide inter-frequency mIAB list in SIB4, details FFS. </w:t>
            </w:r>
          </w:p>
          <w:p>
            <w:pPr>
              <w:pStyle w:val="108"/>
              <w:rPr>
                <w:lang w:val="en-US"/>
              </w:rPr>
            </w:pPr>
            <w:r>
              <w:t>It is left to UE implementation to determine whether the UE is physically on a moving vehicle and when it applies mobile IAB cell</w:t>
            </w:r>
            <w:r>
              <w:rPr>
                <w:color w:val="auto"/>
              </w:rPr>
              <w:t xml:space="preserve"> reselection </w:t>
            </w:r>
            <w:r>
              <w:t xml:space="preserve">prioritization for agreed scenarios. </w:t>
            </w:r>
          </w:p>
          <w:p>
            <w:pPr>
              <w:pStyle w:val="108"/>
              <w:numPr>
                <w:ilvl w:val="0"/>
                <w:numId w:val="0"/>
              </w:numPr>
              <w:ind w:firstLine="600" w:firstLineChars="300"/>
              <w:rPr>
                <w:rFonts w:ascii="CG Times (WN)" w:hAnsi="CG Times (WN)" w:eastAsia="Batang"/>
              </w:rPr>
            </w:pPr>
          </w:p>
        </w:tc>
      </w:tr>
    </w:tbl>
    <w:p>
      <w:pPr>
        <w:spacing w:before="156" w:beforeLines="50"/>
        <w:jc w:val="both"/>
        <w:rPr>
          <w:lang w:eastAsia="zh-CN"/>
        </w:rPr>
      </w:pPr>
      <w:r>
        <w:rPr>
          <w:rFonts w:hint="eastAsia"/>
          <w:lang w:val="en-US" w:eastAsia="zh-CN"/>
        </w:rPr>
        <w:t xml:space="preserve">In this paper, we discuss the FFS issues for RRC idle/inactive UE and present our point of view. </w:t>
      </w:r>
      <w:r>
        <w:rPr>
          <w:rFonts w:hint="eastAsia"/>
        </w:rPr>
        <w:t xml:space="preserve"> </w:t>
      </w:r>
    </w:p>
    <w:p>
      <w:pPr>
        <w:pStyle w:val="2"/>
        <w:jc w:val="both"/>
        <w:rPr>
          <w:rFonts w:hint="eastAsia" w:eastAsia="宋体"/>
          <w:lang w:eastAsia="zh-CN"/>
        </w:rPr>
      </w:pPr>
      <w:r>
        <w:rPr>
          <w:rFonts w:hint="eastAsia" w:eastAsia="宋体"/>
          <w:lang w:eastAsia="zh-CN"/>
        </w:rPr>
        <w:t>Discussion</w:t>
      </w:r>
    </w:p>
    <w:p>
      <w:pPr>
        <w:rPr>
          <w:rFonts w:hint="eastAsia"/>
          <w:b w:val="0"/>
          <w:bCs w:val="0"/>
          <w:lang w:val="en-US" w:eastAsia="zh-CN"/>
        </w:rPr>
      </w:pPr>
      <w:r>
        <w:rPr>
          <w:rFonts w:hint="eastAsia"/>
          <w:lang w:val="en-US" w:eastAsia="zh-CN"/>
        </w:rPr>
        <w:t xml:space="preserve">During the last RAN2 meeting, the </w:t>
      </w:r>
      <w:r>
        <w:t>inter-frequency cell reselection</w:t>
      </w:r>
      <w:r>
        <w:rPr>
          <w:rFonts w:hint="eastAsia"/>
          <w:lang w:val="en-US" w:eastAsia="zh-CN"/>
        </w:rPr>
        <w:t xml:space="preserve"> WA has been confirmed, i.e., f</w:t>
      </w:r>
      <w:r>
        <w:t>or a UE that is “on-board”, irrespective whether it is camped on the mobile IAB cell or a stationary cell, it can prioritize another frequency for which a mobile IAB cell is the best cell.</w:t>
      </w:r>
      <w:r>
        <w:rPr>
          <w:rFonts w:hint="eastAsia"/>
          <w:lang w:val="en-US" w:eastAsia="zh-CN"/>
        </w:rPr>
        <w:t xml:space="preserve"> </w:t>
      </w:r>
      <w:r>
        <w:rPr>
          <w:rFonts w:hint="eastAsia"/>
          <w:b w:val="0"/>
          <w:bCs w:val="0"/>
          <w:lang w:val="en-US" w:eastAsia="zh-CN"/>
        </w:rPr>
        <w:t xml:space="preserve">To support this kind of prioritization, UE needs to be able to identify which cell is mobile IAB cell. In our opinion, the mobile-IAB cell type indication may broadcast by mobile IAB cell and it can be used by the UE to identify whether the cell is mobile IAB cell or stationary cell. </w:t>
      </w:r>
    </w:p>
    <w:p>
      <w:pPr>
        <w:rPr>
          <w:rFonts w:hint="default"/>
          <w:b w:val="0"/>
          <w:bCs w:val="0"/>
          <w:lang w:val="en-US" w:eastAsia="zh-CN"/>
        </w:rPr>
      </w:pPr>
      <w:r>
        <w:rPr>
          <w:rFonts w:hint="eastAsia"/>
          <w:b/>
          <w:bCs/>
          <w:lang w:val="en-US" w:eastAsia="zh-CN"/>
        </w:rPr>
        <w:t xml:space="preserve">Proposal 1: RAN2 to confirm that the </w:t>
      </w:r>
      <w:r>
        <w:rPr>
          <w:rFonts w:hint="eastAsia" w:eastAsia="Batang"/>
          <w:b/>
          <w:bCs/>
        </w:rPr>
        <w:t>mobile-IAB cell type indication</w:t>
      </w:r>
      <w:r>
        <w:rPr>
          <w:rFonts w:hint="eastAsia"/>
          <w:b/>
          <w:bCs/>
          <w:lang w:val="en-US" w:eastAsia="zh-CN"/>
        </w:rPr>
        <w:t xml:space="preserve"> is broadcast by mobile IAB cell.</w:t>
      </w:r>
    </w:p>
    <w:p>
      <w:pPr>
        <w:jc w:val="both"/>
        <w:rPr>
          <w:rFonts w:hint="eastAsia"/>
          <w:b w:val="0"/>
          <w:bCs w:val="0"/>
          <w:lang w:val="en-US" w:eastAsia="zh-CN"/>
        </w:rPr>
      </w:pPr>
      <w:r>
        <w:rPr>
          <w:rFonts w:hint="eastAsia"/>
          <w:b w:val="0"/>
          <w:bCs w:val="0"/>
          <w:lang w:val="en-US" w:eastAsia="zh-CN"/>
        </w:rPr>
        <w:t xml:space="preserve">As agreed during last RAN2 meeting, it is left to UE implementation to determine </w:t>
      </w:r>
      <w:r>
        <w:t xml:space="preserve">whether </w:t>
      </w:r>
      <w:r>
        <w:rPr>
          <w:rFonts w:hint="eastAsia"/>
          <w:lang w:val="en-US" w:eastAsia="zh-CN"/>
        </w:rPr>
        <w:t>it</w:t>
      </w:r>
      <w:r>
        <w:t xml:space="preserve"> is physically on a moving vehicle</w:t>
      </w:r>
      <w:r>
        <w:rPr>
          <w:rFonts w:hint="eastAsia"/>
          <w:lang w:val="en-US" w:eastAsia="zh-CN"/>
        </w:rPr>
        <w:t xml:space="preserve">. Suppose the UE </w:t>
      </w:r>
      <w:r>
        <w:rPr>
          <w:rFonts w:hint="eastAsia"/>
          <w:b w:val="0"/>
          <w:bCs w:val="0"/>
          <w:lang w:val="en-US" w:eastAsia="zh-CN"/>
        </w:rPr>
        <w:t xml:space="preserve">determines that </w:t>
      </w:r>
      <w:r>
        <w:rPr>
          <w:rFonts w:hint="eastAsia"/>
          <w:lang w:val="en-US" w:eastAsia="zh-CN"/>
        </w:rPr>
        <w:t>it</w:t>
      </w:r>
      <w:r>
        <w:t xml:space="preserve"> is physically on a moving vehicle</w:t>
      </w:r>
      <w:r>
        <w:rPr>
          <w:rFonts w:hint="eastAsia"/>
          <w:lang w:val="en-US" w:eastAsia="zh-CN"/>
        </w:rPr>
        <w:t xml:space="preserve"> and this UE is</w:t>
      </w:r>
      <w:r>
        <w:rPr>
          <w:rFonts w:hint="eastAsia"/>
          <w:b w:val="0"/>
          <w:bCs w:val="0"/>
        </w:rPr>
        <w:t xml:space="preserve"> already camped on mobile IAB cells, in order to avoid unnecessary inter-frequency measurement with high priority, it is </w:t>
      </w:r>
      <w:r>
        <w:rPr>
          <w:rFonts w:hint="eastAsia"/>
          <w:b w:val="0"/>
          <w:bCs w:val="0"/>
          <w:lang w:val="en-US" w:eastAsia="zh-CN"/>
        </w:rPr>
        <w:t>better for the</w:t>
      </w:r>
      <w:r>
        <w:rPr>
          <w:rFonts w:hint="eastAsia"/>
          <w:b w:val="0"/>
          <w:bCs w:val="0"/>
        </w:rPr>
        <w:t xml:space="preserve"> UE </w:t>
      </w:r>
      <w:r>
        <w:rPr>
          <w:rFonts w:hint="eastAsia"/>
          <w:b w:val="0"/>
          <w:bCs w:val="0"/>
          <w:lang w:val="en-US" w:eastAsia="zh-CN"/>
        </w:rPr>
        <w:t xml:space="preserve">to </w:t>
      </w:r>
      <w:r>
        <w:rPr>
          <w:rFonts w:hint="eastAsia"/>
          <w:b w:val="0"/>
          <w:bCs w:val="0"/>
        </w:rPr>
        <w:t>regard the frequency which provide</w:t>
      </w:r>
      <w:r>
        <w:rPr>
          <w:rFonts w:hint="eastAsia"/>
          <w:b w:val="0"/>
          <w:bCs w:val="0"/>
          <w:lang w:val="en-US" w:eastAsia="zh-CN"/>
        </w:rPr>
        <w:t>s</w:t>
      </w:r>
      <w:r>
        <w:rPr>
          <w:rFonts w:hint="eastAsia"/>
          <w:b w:val="0"/>
          <w:bCs w:val="0"/>
        </w:rPr>
        <w:t xml:space="preserve"> mobile IAB cell to be the highest priority. </w:t>
      </w:r>
      <w:r>
        <w:rPr>
          <w:rFonts w:hint="eastAsia"/>
          <w:b w:val="0"/>
          <w:bCs w:val="0"/>
          <w:lang w:val="en-US" w:eastAsia="zh-CN"/>
        </w:rPr>
        <w:t xml:space="preserve">Therefore, the UE may continuously camp on this mobile IAB cell. </w:t>
      </w:r>
    </w:p>
    <w:p>
      <w:pPr>
        <w:jc w:val="both"/>
        <w:rPr>
          <w:rFonts w:hint="eastAsia"/>
          <w:lang w:val="en-US" w:eastAsia="zh-CN"/>
        </w:rPr>
      </w:pPr>
      <w:r>
        <w:rPr>
          <w:rFonts w:hint="eastAsia"/>
          <w:b w:val="0"/>
          <w:bCs w:val="0"/>
          <w:lang w:val="en-US" w:eastAsia="zh-CN"/>
        </w:rPr>
        <w:t xml:space="preserve">On the other hand, suppose the </w:t>
      </w:r>
      <w:r>
        <w:rPr>
          <w:rFonts w:hint="eastAsia"/>
          <w:lang w:val="en-US" w:eastAsia="zh-CN"/>
        </w:rPr>
        <w:t xml:space="preserve">UE </w:t>
      </w:r>
      <w:r>
        <w:rPr>
          <w:rFonts w:hint="eastAsia"/>
          <w:b w:val="0"/>
          <w:bCs w:val="0"/>
          <w:lang w:val="en-US" w:eastAsia="zh-CN"/>
        </w:rPr>
        <w:t xml:space="preserve">determines that </w:t>
      </w:r>
      <w:r>
        <w:rPr>
          <w:rFonts w:hint="eastAsia"/>
          <w:lang w:val="en-US" w:eastAsia="zh-CN"/>
        </w:rPr>
        <w:t>it</w:t>
      </w:r>
      <w:r>
        <w:t xml:space="preserve"> is physically on a moving vehicle</w:t>
      </w:r>
      <w:r>
        <w:rPr>
          <w:rFonts w:hint="eastAsia"/>
          <w:lang w:val="en-US" w:eastAsia="zh-CN"/>
        </w:rPr>
        <w:t xml:space="preserve"> but it is </w:t>
      </w:r>
      <w:r>
        <w:rPr>
          <w:rFonts w:hint="eastAsia"/>
          <w:b w:val="0"/>
          <w:bCs w:val="0"/>
        </w:rPr>
        <w:t xml:space="preserve">camped on </w:t>
      </w:r>
      <w:r>
        <w:rPr>
          <w:rFonts w:hint="eastAsia"/>
          <w:b w:val="0"/>
          <w:bCs w:val="0"/>
          <w:lang w:val="en-US" w:eastAsia="zh-CN"/>
        </w:rPr>
        <w:t xml:space="preserve">a stationary cell, it may soon detect poor measurement result of stationary cell and initiate the cell re-selection.  During the cell re-selection procedure, UE may </w:t>
      </w:r>
      <w:r>
        <w:t xml:space="preserve">prioritize another frequency </w:t>
      </w:r>
      <w:r>
        <w:rPr>
          <w:rFonts w:hint="eastAsia"/>
          <w:lang w:val="en-US" w:eastAsia="zh-CN"/>
        </w:rPr>
        <w:t xml:space="preserve">which provides the mobile IAB cell and select the </w:t>
      </w:r>
      <w:r>
        <w:t xml:space="preserve">mobile IAB cell </w:t>
      </w:r>
      <w:r>
        <w:rPr>
          <w:rFonts w:hint="eastAsia"/>
          <w:lang w:val="en-US" w:eastAsia="zh-CN"/>
        </w:rPr>
        <w:t>if it is ranked as the</w:t>
      </w:r>
      <w:r>
        <w:t xml:space="preserve"> best cell</w:t>
      </w:r>
      <w:r>
        <w:rPr>
          <w:rFonts w:hint="eastAsia"/>
          <w:sz w:val="20"/>
          <w:szCs w:val="20"/>
          <w:lang w:val="en-US" w:eastAsia="zh-CN"/>
        </w:rPr>
        <w:t xml:space="preserve">. To support this case, it requires </w:t>
      </w:r>
      <w:r>
        <w:rPr>
          <w:rFonts w:hint="eastAsia"/>
          <w:lang w:val="en-US" w:eastAsia="zh-CN"/>
        </w:rPr>
        <w:t xml:space="preserve">the UE know which frequency provides mobile IAB cell. </w:t>
      </w:r>
    </w:p>
    <w:p>
      <w:pPr>
        <w:jc w:val="both"/>
        <w:rPr>
          <w:rFonts w:hint="eastAsia"/>
          <w:lang w:val="en-US" w:eastAsia="zh-CN"/>
        </w:rPr>
      </w:pPr>
      <w:r>
        <w:rPr>
          <w:rFonts w:hint="eastAsia"/>
          <w:lang w:val="en-US" w:eastAsia="zh-CN"/>
        </w:rPr>
        <w:t xml:space="preserve">As we know, </w:t>
      </w:r>
      <w:r>
        <w:t>RAN2 assumes that the NW can optionally provide inter-frequency mIAB list in SIB4</w:t>
      </w:r>
      <w:r>
        <w:rPr>
          <w:rFonts w:hint="eastAsia"/>
          <w:lang w:val="en-US" w:eastAsia="zh-CN"/>
        </w:rPr>
        <w:t xml:space="preserve"> a</w:t>
      </w:r>
      <w:r>
        <w:t>s assistance information</w:t>
      </w:r>
      <w:r>
        <w:rPr>
          <w:rFonts w:hint="eastAsia"/>
          <w:lang w:val="en-US" w:eastAsia="zh-CN"/>
        </w:rPr>
        <w:t>. The</w:t>
      </w:r>
      <w:r>
        <w:t xml:space="preserve"> details </w:t>
      </w:r>
      <w:r>
        <w:rPr>
          <w:rFonts w:hint="eastAsia"/>
          <w:lang w:val="en-US" w:eastAsia="zh-CN"/>
        </w:rPr>
        <w:t xml:space="preserve">are </w:t>
      </w:r>
      <w:r>
        <w:t xml:space="preserve">FFS. </w:t>
      </w:r>
      <w:r>
        <w:rPr>
          <w:rFonts w:hint="eastAsia"/>
          <w:lang w:val="en-US" w:eastAsia="zh-CN"/>
        </w:rPr>
        <w:t>Actually, some companies suggest to include a list of frequency that provide the mobile IAB cell in SIB4. Other companies suggest to further include the list of neighboring mobile IAB cell</w:t>
      </w:r>
      <w:r>
        <w:rPr>
          <w:rFonts w:hint="default"/>
          <w:lang w:val="en-US" w:eastAsia="zh-CN"/>
        </w:rPr>
        <w:t>’</w:t>
      </w:r>
      <w:r>
        <w:rPr>
          <w:rFonts w:hint="eastAsia"/>
          <w:lang w:val="en-US" w:eastAsia="zh-CN"/>
        </w:rPr>
        <w:t>s PCI in SIB4 to facilitate UE</w:t>
      </w:r>
      <w:r>
        <w:rPr>
          <w:rFonts w:hint="default"/>
          <w:lang w:val="en-US" w:eastAsia="zh-CN"/>
        </w:rPr>
        <w:t>’</w:t>
      </w:r>
      <w:r>
        <w:rPr>
          <w:rFonts w:hint="eastAsia"/>
          <w:lang w:val="en-US" w:eastAsia="zh-CN"/>
        </w:rPr>
        <w:t>s cell re-selection. In our opinion, w</w:t>
      </w:r>
      <w:r>
        <w:rPr>
          <w:rFonts w:hint="eastAsia"/>
        </w:rPr>
        <w:t>ith the movement of mobile IAB</w:t>
      </w:r>
      <w:r>
        <w:rPr>
          <w:rFonts w:hint="eastAsia"/>
          <w:lang w:val="en-US" w:eastAsia="zh-CN"/>
        </w:rPr>
        <w:t xml:space="preserve"> node</w:t>
      </w:r>
      <w:r>
        <w:rPr>
          <w:rFonts w:hint="eastAsia"/>
        </w:rPr>
        <w:t xml:space="preserve">, the </w:t>
      </w:r>
      <w:r>
        <w:rPr>
          <w:rFonts w:hint="eastAsia"/>
          <w:lang w:val="en-US" w:eastAsia="zh-CN"/>
        </w:rPr>
        <w:t xml:space="preserve">mobile IAB-MT may perform HO from one parent cell to another parent cell and the working frequency, radio resources and even PCI of collocated mobile IAB cell may be reconfigured by the donor CU correspondingly. It means that there is no dedicated working frequency and PCI for mobile IAB cell. </w:t>
      </w:r>
    </w:p>
    <w:p>
      <w:pPr>
        <w:jc w:val="both"/>
        <w:rPr>
          <w:rFonts w:hint="default"/>
          <w:lang w:val="en-US" w:eastAsia="zh-CN"/>
        </w:rPr>
      </w:pPr>
      <w:r>
        <w:rPr>
          <w:rFonts w:hint="eastAsia"/>
          <w:b/>
          <w:bCs/>
          <w:lang w:val="en-US" w:eastAsia="zh-CN"/>
        </w:rPr>
        <w:t xml:space="preserve">Observation 1: The working frequency and PCI of mobile IAB cell may change along with the movement of mobile IAB node. </w:t>
      </w:r>
    </w:p>
    <w:p>
      <w:pPr>
        <w:jc w:val="both"/>
        <w:rPr>
          <w:rFonts w:hint="eastAsia"/>
          <w:b/>
          <w:bCs/>
          <w:lang w:val="en-US" w:eastAsia="zh-CN"/>
        </w:rPr>
      </w:pPr>
      <w:r>
        <w:rPr>
          <w:rFonts w:hint="eastAsia"/>
          <w:lang w:val="en-US" w:eastAsia="zh-CN"/>
        </w:rPr>
        <w:t>To solve this problem, it is suggested that donor CU configure the mobile IAB cell with radio resource on a limited set of frequency when the mobile IAB-MT performs HO to target parent cell. And OAM may configure the neighboring stationary cells to broadcast this limited set of frequencies in SIB4. However, considering that the PCI of mobile IAB cell changes more dynamically and it is not easy for neighboring stationary cell to</w:t>
      </w:r>
      <w:r>
        <w:rPr>
          <w:rFonts w:hint="eastAsia"/>
          <w:b w:val="0"/>
          <w:bCs w:val="0"/>
          <w:lang w:val="en-US" w:eastAsia="zh-CN"/>
        </w:rPr>
        <w:t xml:space="preserve"> capture the occasionally appeared mobile IAB cells, it is not realistic to include the PCI list of mobile IAB cell  in</w:t>
      </w:r>
      <w:r>
        <w:rPr>
          <w:rFonts w:hint="eastAsia"/>
          <w:lang w:val="en-US" w:eastAsia="zh-CN"/>
        </w:rPr>
        <w:t xml:space="preserve"> SIB4. </w:t>
      </w:r>
    </w:p>
    <w:p>
      <w:pPr>
        <w:jc w:val="both"/>
        <w:rPr>
          <w:rFonts w:hint="eastAsia"/>
          <w:b/>
          <w:bCs/>
          <w:lang w:val="en-US" w:eastAsia="zh-CN"/>
        </w:rPr>
      </w:pPr>
      <w:r>
        <w:rPr>
          <w:rFonts w:hint="eastAsia"/>
          <w:b/>
          <w:bCs/>
          <w:lang w:val="en-US" w:eastAsia="zh-CN"/>
        </w:rPr>
        <w:t>Proposal 2: T</w:t>
      </w:r>
      <w:r>
        <w:rPr>
          <w:b/>
          <w:bCs/>
        </w:rPr>
        <w:t xml:space="preserve">he NW can optionally provide </w:t>
      </w:r>
      <w:r>
        <w:rPr>
          <w:rFonts w:hint="eastAsia"/>
          <w:b/>
          <w:bCs/>
          <w:lang w:val="en-US" w:eastAsia="zh-CN"/>
        </w:rPr>
        <w:t xml:space="preserve">a list of </w:t>
      </w:r>
      <w:r>
        <w:rPr>
          <w:b/>
          <w:bCs/>
        </w:rPr>
        <w:t>frequenc</w:t>
      </w:r>
      <w:r>
        <w:rPr>
          <w:rFonts w:hint="eastAsia"/>
          <w:b/>
          <w:bCs/>
          <w:lang w:val="en-US" w:eastAsia="zh-CN"/>
        </w:rPr>
        <w:t>ies</w:t>
      </w:r>
      <w:r>
        <w:rPr>
          <w:b/>
          <w:bCs/>
        </w:rPr>
        <w:t xml:space="preserve"> </w:t>
      </w:r>
      <w:r>
        <w:rPr>
          <w:rFonts w:hint="eastAsia"/>
          <w:b/>
          <w:bCs/>
          <w:lang w:val="en-US" w:eastAsia="zh-CN"/>
        </w:rPr>
        <w:t xml:space="preserve">for mobile IAB </w:t>
      </w:r>
      <w:r>
        <w:rPr>
          <w:b/>
          <w:bCs/>
        </w:rPr>
        <w:t>in SIB4</w:t>
      </w:r>
      <w:r>
        <w:rPr>
          <w:rFonts w:hint="eastAsia"/>
          <w:b/>
          <w:bCs/>
          <w:lang w:val="en-US" w:eastAsia="zh-CN"/>
        </w:rPr>
        <w:t xml:space="preserve"> to facilitate the cell reselection of UEs not camped on mobile IAB cell yet. </w:t>
      </w:r>
    </w:p>
    <w:p>
      <w:pPr>
        <w:jc w:val="both"/>
        <w:rPr>
          <w:b/>
          <w:bCs/>
          <w:lang w:eastAsia="zh-CN"/>
        </w:rPr>
      </w:pPr>
      <w:r>
        <w:rPr>
          <w:rFonts w:hint="eastAsia"/>
          <w:b/>
          <w:bCs/>
          <w:lang w:val="en-US" w:eastAsia="zh-CN"/>
        </w:rPr>
        <w:t xml:space="preserve">Proposal 3: The assistance information of a list of PCIs of mobile IAB cell in SIB4 is not pursued. </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observations and proposals are given:</w:t>
      </w:r>
    </w:p>
    <w:p>
      <w:pPr>
        <w:jc w:val="both"/>
        <w:rPr>
          <w:rFonts w:hint="default"/>
          <w:lang w:val="en-US" w:eastAsia="zh-CN"/>
        </w:rPr>
      </w:pPr>
      <w:r>
        <w:rPr>
          <w:rFonts w:hint="eastAsia"/>
          <w:b/>
          <w:bCs/>
          <w:lang w:val="en-US" w:eastAsia="zh-CN"/>
        </w:rPr>
        <w:t xml:space="preserve">Observation 1: The working frequency and PCI of mobile IAB cell may change along with the movement of mobile IAB node. </w:t>
      </w:r>
    </w:p>
    <w:p>
      <w:pPr>
        <w:overflowPunct w:val="0"/>
        <w:autoSpaceDE w:val="0"/>
        <w:autoSpaceDN w:val="0"/>
        <w:adjustRightInd w:val="0"/>
        <w:spacing w:before="156" w:beforeLines="50"/>
        <w:jc w:val="both"/>
        <w:rPr>
          <w:rFonts w:hint="eastAsia"/>
          <w:lang w:val="en-US" w:eastAsia="zh-CN"/>
        </w:rPr>
      </w:pPr>
      <w:bookmarkStart w:id="3" w:name="_GoBack"/>
      <w:bookmarkEnd w:id="3"/>
    </w:p>
    <w:p>
      <w:pPr>
        <w:rPr>
          <w:rFonts w:hint="default"/>
          <w:b w:val="0"/>
          <w:bCs w:val="0"/>
          <w:lang w:val="en-US" w:eastAsia="zh-CN"/>
        </w:rPr>
      </w:pPr>
      <w:r>
        <w:rPr>
          <w:rFonts w:hint="eastAsia"/>
          <w:b/>
          <w:bCs/>
          <w:lang w:val="en-US" w:eastAsia="zh-CN"/>
        </w:rPr>
        <w:t xml:space="preserve">Proposal 1: RAN2 to confirm that the </w:t>
      </w:r>
      <w:r>
        <w:rPr>
          <w:rFonts w:hint="eastAsia" w:eastAsia="Batang"/>
          <w:b/>
          <w:bCs/>
        </w:rPr>
        <w:t>mobile-IAB cell type indication</w:t>
      </w:r>
      <w:r>
        <w:rPr>
          <w:rFonts w:hint="eastAsia"/>
          <w:b/>
          <w:bCs/>
          <w:lang w:val="en-US" w:eastAsia="zh-CN"/>
        </w:rPr>
        <w:t xml:space="preserve"> is broadcast by mobile IAB cell.</w:t>
      </w:r>
    </w:p>
    <w:p>
      <w:pPr>
        <w:jc w:val="both"/>
        <w:rPr>
          <w:rFonts w:hint="eastAsia"/>
          <w:b/>
          <w:bCs/>
          <w:lang w:val="en-US" w:eastAsia="zh-CN"/>
        </w:rPr>
      </w:pPr>
      <w:r>
        <w:rPr>
          <w:rFonts w:hint="eastAsia"/>
          <w:b/>
          <w:bCs/>
          <w:lang w:val="en-US" w:eastAsia="zh-CN"/>
        </w:rPr>
        <w:t>Proposal 2: T</w:t>
      </w:r>
      <w:r>
        <w:rPr>
          <w:b/>
          <w:bCs/>
        </w:rPr>
        <w:t xml:space="preserve">he NW can optionally provide </w:t>
      </w:r>
      <w:r>
        <w:rPr>
          <w:rFonts w:hint="eastAsia"/>
          <w:b/>
          <w:bCs/>
          <w:lang w:val="en-US" w:eastAsia="zh-CN"/>
        </w:rPr>
        <w:t xml:space="preserve">a list of </w:t>
      </w:r>
      <w:r>
        <w:rPr>
          <w:b/>
          <w:bCs/>
        </w:rPr>
        <w:t>frequenc</w:t>
      </w:r>
      <w:r>
        <w:rPr>
          <w:rFonts w:hint="eastAsia"/>
          <w:b/>
          <w:bCs/>
          <w:lang w:val="en-US" w:eastAsia="zh-CN"/>
        </w:rPr>
        <w:t>ies</w:t>
      </w:r>
      <w:r>
        <w:rPr>
          <w:b/>
          <w:bCs/>
        </w:rPr>
        <w:t xml:space="preserve"> </w:t>
      </w:r>
      <w:r>
        <w:rPr>
          <w:rFonts w:hint="eastAsia"/>
          <w:b/>
          <w:bCs/>
          <w:lang w:val="en-US" w:eastAsia="zh-CN"/>
        </w:rPr>
        <w:t xml:space="preserve">for mobile IAB </w:t>
      </w:r>
      <w:r>
        <w:rPr>
          <w:b/>
          <w:bCs/>
        </w:rPr>
        <w:t>in SIB4</w:t>
      </w:r>
      <w:r>
        <w:rPr>
          <w:rFonts w:hint="eastAsia"/>
          <w:b/>
          <w:bCs/>
          <w:lang w:val="en-US" w:eastAsia="zh-CN"/>
        </w:rPr>
        <w:t xml:space="preserve"> to facilitate the cell reselection of UEs not camped on mobile IAB cell yet. </w:t>
      </w:r>
    </w:p>
    <w:p>
      <w:pPr>
        <w:jc w:val="left"/>
        <w:rPr>
          <w:b/>
          <w:bCs/>
          <w:lang w:val="en-US" w:eastAsia="zh-CN"/>
        </w:rPr>
      </w:pPr>
      <w:r>
        <w:rPr>
          <w:rFonts w:hint="eastAsia"/>
          <w:b/>
          <w:bCs/>
          <w:lang w:val="en-US" w:eastAsia="zh-CN"/>
        </w:rPr>
        <w:t>Proposal 3: The assistance information of a list of PCIs of mobile IAB cell in SIB4 is not pursued.</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3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3D3"/>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162"/>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5F02"/>
    <w:rsid w:val="000D5FA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C25"/>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776"/>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3DCE"/>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EB9"/>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27CA3"/>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9F4"/>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8D4"/>
    <w:rsid w:val="002B3EFA"/>
    <w:rsid w:val="002B4933"/>
    <w:rsid w:val="002B49AC"/>
    <w:rsid w:val="002B4A9F"/>
    <w:rsid w:val="002B4C2C"/>
    <w:rsid w:val="002B4FA8"/>
    <w:rsid w:val="002B53B9"/>
    <w:rsid w:val="002B54B1"/>
    <w:rsid w:val="002B565A"/>
    <w:rsid w:val="002B5700"/>
    <w:rsid w:val="002B579C"/>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0C7"/>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347"/>
    <w:rsid w:val="00436715"/>
    <w:rsid w:val="004367D9"/>
    <w:rsid w:val="00436F95"/>
    <w:rsid w:val="00437000"/>
    <w:rsid w:val="00437A99"/>
    <w:rsid w:val="00440408"/>
    <w:rsid w:val="004414A9"/>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7F0"/>
    <w:rsid w:val="004C2F20"/>
    <w:rsid w:val="004C302A"/>
    <w:rsid w:val="004C3132"/>
    <w:rsid w:val="004C361A"/>
    <w:rsid w:val="004C4F8C"/>
    <w:rsid w:val="004C4FA4"/>
    <w:rsid w:val="004C5480"/>
    <w:rsid w:val="004C5649"/>
    <w:rsid w:val="004C67C6"/>
    <w:rsid w:val="004C6DB3"/>
    <w:rsid w:val="004C6F3E"/>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3FB"/>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0A"/>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5C"/>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491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1EC8"/>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5EB0"/>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2F9A"/>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6B6ED6"/>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3140B"/>
    <w:rsid w:val="02CB0E0D"/>
    <w:rsid w:val="02D8526C"/>
    <w:rsid w:val="02EB38B9"/>
    <w:rsid w:val="02EE0E74"/>
    <w:rsid w:val="02F00BEE"/>
    <w:rsid w:val="02F22456"/>
    <w:rsid w:val="030026D0"/>
    <w:rsid w:val="0300644B"/>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2498F"/>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E335A9"/>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B917B5"/>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5F4A55"/>
    <w:rsid w:val="096B03FF"/>
    <w:rsid w:val="096F4744"/>
    <w:rsid w:val="096F777B"/>
    <w:rsid w:val="098113B0"/>
    <w:rsid w:val="09823672"/>
    <w:rsid w:val="09A343B5"/>
    <w:rsid w:val="09B55CF9"/>
    <w:rsid w:val="09BC2E8E"/>
    <w:rsid w:val="09BD0931"/>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BB2F53"/>
    <w:rsid w:val="0BC0582C"/>
    <w:rsid w:val="0BC97B87"/>
    <w:rsid w:val="0BCD0386"/>
    <w:rsid w:val="0BD015C0"/>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8F0F56"/>
    <w:rsid w:val="0D930B9B"/>
    <w:rsid w:val="0D9533A2"/>
    <w:rsid w:val="0D9B02A5"/>
    <w:rsid w:val="0DAB6775"/>
    <w:rsid w:val="0DB827DE"/>
    <w:rsid w:val="0DCD68E1"/>
    <w:rsid w:val="0DD6175F"/>
    <w:rsid w:val="0DFF33E2"/>
    <w:rsid w:val="0E02571A"/>
    <w:rsid w:val="0E04044F"/>
    <w:rsid w:val="0E040C64"/>
    <w:rsid w:val="0E0B4BF2"/>
    <w:rsid w:val="0E0D46A1"/>
    <w:rsid w:val="0E195F3C"/>
    <w:rsid w:val="0E1D020C"/>
    <w:rsid w:val="0E1E06DD"/>
    <w:rsid w:val="0E2B3498"/>
    <w:rsid w:val="0E410195"/>
    <w:rsid w:val="0E4E17BA"/>
    <w:rsid w:val="0E537E47"/>
    <w:rsid w:val="0E540A00"/>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843D0"/>
    <w:rsid w:val="0F4C36C8"/>
    <w:rsid w:val="0F5828A8"/>
    <w:rsid w:val="0F5F0E06"/>
    <w:rsid w:val="0F640159"/>
    <w:rsid w:val="0F6C61FA"/>
    <w:rsid w:val="0F6C7B75"/>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7520C"/>
    <w:rsid w:val="103F1735"/>
    <w:rsid w:val="10442CB0"/>
    <w:rsid w:val="104500A8"/>
    <w:rsid w:val="104F012F"/>
    <w:rsid w:val="1051046A"/>
    <w:rsid w:val="106606A4"/>
    <w:rsid w:val="106C17A6"/>
    <w:rsid w:val="107A0C72"/>
    <w:rsid w:val="10810AA8"/>
    <w:rsid w:val="10880446"/>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AB2922"/>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EC4AA5"/>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D6BA0"/>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A31B6A"/>
    <w:rsid w:val="16B430CC"/>
    <w:rsid w:val="16B6401E"/>
    <w:rsid w:val="16BC7120"/>
    <w:rsid w:val="16BD5D0A"/>
    <w:rsid w:val="16C15887"/>
    <w:rsid w:val="16CE62E2"/>
    <w:rsid w:val="16D33A58"/>
    <w:rsid w:val="16D50398"/>
    <w:rsid w:val="16D50F4C"/>
    <w:rsid w:val="16D77FA1"/>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04433"/>
    <w:rsid w:val="18AB5FAF"/>
    <w:rsid w:val="18BC39C0"/>
    <w:rsid w:val="18C11039"/>
    <w:rsid w:val="18C63B82"/>
    <w:rsid w:val="18CB399B"/>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3F28BF"/>
    <w:rsid w:val="1A411F58"/>
    <w:rsid w:val="1A4C08AD"/>
    <w:rsid w:val="1A507DCD"/>
    <w:rsid w:val="1A551A07"/>
    <w:rsid w:val="1A5A4D51"/>
    <w:rsid w:val="1A63746B"/>
    <w:rsid w:val="1A672164"/>
    <w:rsid w:val="1A6A66D5"/>
    <w:rsid w:val="1A701A43"/>
    <w:rsid w:val="1A743FBF"/>
    <w:rsid w:val="1A7452C7"/>
    <w:rsid w:val="1A7A27D2"/>
    <w:rsid w:val="1A8578FC"/>
    <w:rsid w:val="1A891B32"/>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05DE3"/>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B0ABA"/>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77933"/>
    <w:rsid w:val="1E696878"/>
    <w:rsid w:val="1E76494F"/>
    <w:rsid w:val="1E906FE9"/>
    <w:rsid w:val="1E94288A"/>
    <w:rsid w:val="1EA40027"/>
    <w:rsid w:val="1EB50B50"/>
    <w:rsid w:val="1EBA31B8"/>
    <w:rsid w:val="1EBD6AFE"/>
    <w:rsid w:val="1EC24C3E"/>
    <w:rsid w:val="1ECD43D6"/>
    <w:rsid w:val="1EDE2EB1"/>
    <w:rsid w:val="1EE26F09"/>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3EA"/>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01464"/>
    <w:rsid w:val="21D66EB2"/>
    <w:rsid w:val="21D677FD"/>
    <w:rsid w:val="21E359B2"/>
    <w:rsid w:val="22011200"/>
    <w:rsid w:val="22067AB1"/>
    <w:rsid w:val="220C6CB6"/>
    <w:rsid w:val="220D51F5"/>
    <w:rsid w:val="220D76C7"/>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617FE"/>
    <w:rsid w:val="24795B8F"/>
    <w:rsid w:val="247A5489"/>
    <w:rsid w:val="247F6E82"/>
    <w:rsid w:val="24837726"/>
    <w:rsid w:val="24845BF9"/>
    <w:rsid w:val="2489673F"/>
    <w:rsid w:val="24932814"/>
    <w:rsid w:val="24975026"/>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B622D6"/>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6979EC"/>
    <w:rsid w:val="267366B5"/>
    <w:rsid w:val="267A50E3"/>
    <w:rsid w:val="26940FAA"/>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25570"/>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B6575"/>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7FF1C05"/>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618BB"/>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86195"/>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8D6E76"/>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91884"/>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30903"/>
    <w:rsid w:val="2D3523C5"/>
    <w:rsid w:val="2D3D77C2"/>
    <w:rsid w:val="2D4957EB"/>
    <w:rsid w:val="2D4F527C"/>
    <w:rsid w:val="2D5233D5"/>
    <w:rsid w:val="2D592AAF"/>
    <w:rsid w:val="2D64342C"/>
    <w:rsid w:val="2D644C4A"/>
    <w:rsid w:val="2D810A54"/>
    <w:rsid w:val="2D880A3C"/>
    <w:rsid w:val="2D914D1C"/>
    <w:rsid w:val="2DA17515"/>
    <w:rsid w:val="2DA64F75"/>
    <w:rsid w:val="2DAE5715"/>
    <w:rsid w:val="2DCE3801"/>
    <w:rsid w:val="2DD61BAF"/>
    <w:rsid w:val="2DE865BD"/>
    <w:rsid w:val="2DEB07E9"/>
    <w:rsid w:val="2DEE050F"/>
    <w:rsid w:val="2E051880"/>
    <w:rsid w:val="2E066B08"/>
    <w:rsid w:val="2E0E1190"/>
    <w:rsid w:val="2E1070D4"/>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0A6A"/>
    <w:rsid w:val="2F323B43"/>
    <w:rsid w:val="2F7215C9"/>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13724"/>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063F92"/>
    <w:rsid w:val="311A5DEA"/>
    <w:rsid w:val="311C73B4"/>
    <w:rsid w:val="311F55F5"/>
    <w:rsid w:val="312B2EBD"/>
    <w:rsid w:val="313200C2"/>
    <w:rsid w:val="313860E8"/>
    <w:rsid w:val="314E0F4E"/>
    <w:rsid w:val="31581D78"/>
    <w:rsid w:val="31585E6C"/>
    <w:rsid w:val="31620B84"/>
    <w:rsid w:val="316371DA"/>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A7BE0"/>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CD198F"/>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03097"/>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1DEF"/>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D54D3"/>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02210"/>
    <w:rsid w:val="37B62A54"/>
    <w:rsid w:val="37B936C4"/>
    <w:rsid w:val="37BA6B56"/>
    <w:rsid w:val="37C33968"/>
    <w:rsid w:val="37C9011D"/>
    <w:rsid w:val="37D2221A"/>
    <w:rsid w:val="37DF18DD"/>
    <w:rsid w:val="37EB3320"/>
    <w:rsid w:val="37F452A2"/>
    <w:rsid w:val="37F712EB"/>
    <w:rsid w:val="37FA6EB5"/>
    <w:rsid w:val="37FC639E"/>
    <w:rsid w:val="38021F61"/>
    <w:rsid w:val="38213155"/>
    <w:rsid w:val="382D6266"/>
    <w:rsid w:val="38384B17"/>
    <w:rsid w:val="383B32B5"/>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D3642"/>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965C0D"/>
    <w:rsid w:val="3A997A92"/>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676CD"/>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9B08CE"/>
    <w:rsid w:val="3CA012D3"/>
    <w:rsid w:val="3CAF3656"/>
    <w:rsid w:val="3CB9591F"/>
    <w:rsid w:val="3CCA684F"/>
    <w:rsid w:val="3CD26FAD"/>
    <w:rsid w:val="3CD87CE5"/>
    <w:rsid w:val="3CDB68D4"/>
    <w:rsid w:val="3CEF06FE"/>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6F46F4"/>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2844"/>
    <w:rsid w:val="403F66AE"/>
    <w:rsid w:val="40616B63"/>
    <w:rsid w:val="40626A97"/>
    <w:rsid w:val="40692304"/>
    <w:rsid w:val="40795CC3"/>
    <w:rsid w:val="409D37D8"/>
    <w:rsid w:val="40A3094D"/>
    <w:rsid w:val="40A416F9"/>
    <w:rsid w:val="40B43BE1"/>
    <w:rsid w:val="40B871C9"/>
    <w:rsid w:val="40C61BF7"/>
    <w:rsid w:val="40CE4174"/>
    <w:rsid w:val="40CF1488"/>
    <w:rsid w:val="40D20597"/>
    <w:rsid w:val="40D24EE6"/>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6D553E"/>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5F7783"/>
    <w:rsid w:val="43610390"/>
    <w:rsid w:val="43655414"/>
    <w:rsid w:val="436C45D3"/>
    <w:rsid w:val="437C2A06"/>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38124B"/>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7643A"/>
    <w:rsid w:val="44980F16"/>
    <w:rsid w:val="44A941C7"/>
    <w:rsid w:val="44AA6EDB"/>
    <w:rsid w:val="44B75D58"/>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31F35"/>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2F623C"/>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E3155"/>
    <w:rsid w:val="46DF5EEA"/>
    <w:rsid w:val="46E05056"/>
    <w:rsid w:val="46E37DAA"/>
    <w:rsid w:val="46E417EE"/>
    <w:rsid w:val="46E805C1"/>
    <w:rsid w:val="46E96B79"/>
    <w:rsid w:val="46EA0145"/>
    <w:rsid w:val="46F7784E"/>
    <w:rsid w:val="46FE26FD"/>
    <w:rsid w:val="47022B62"/>
    <w:rsid w:val="470275A3"/>
    <w:rsid w:val="47051284"/>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A62A8"/>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4D1926"/>
    <w:rsid w:val="49534A38"/>
    <w:rsid w:val="49577F5B"/>
    <w:rsid w:val="49590A49"/>
    <w:rsid w:val="495D420F"/>
    <w:rsid w:val="496F3829"/>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45F0D"/>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D16ED"/>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CF9556E"/>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8404BF"/>
    <w:rsid w:val="4E9D327D"/>
    <w:rsid w:val="4EA320D1"/>
    <w:rsid w:val="4EA63946"/>
    <w:rsid w:val="4EA65EF4"/>
    <w:rsid w:val="4EAE5255"/>
    <w:rsid w:val="4EAF5B07"/>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50626"/>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0ED03FF"/>
    <w:rsid w:val="5106299D"/>
    <w:rsid w:val="51075B17"/>
    <w:rsid w:val="5111310C"/>
    <w:rsid w:val="51143632"/>
    <w:rsid w:val="511545C1"/>
    <w:rsid w:val="511B61E3"/>
    <w:rsid w:val="511F667B"/>
    <w:rsid w:val="512310E9"/>
    <w:rsid w:val="512D47FF"/>
    <w:rsid w:val="513C5240"/>
    <w:rsid w:val="514149D4"/>
    <w:rsid w:val="514E11E7"/>
    <w:rsid w:val="51531D4F"/>
    <w:rsid w:val="515C0C00"/>
    <w:rsid w:val="516F1636"/>
    <w:rsid w:val="51732223"/>
    <w:rsid w:val="517367F4"/>
    <w:rsid w:val="51737331"/>
    <w:rsid w:val="51776538"/>
    <w:rsid w:val="517F3D75"/>
    <w:rsid w:val="518749EC"/>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51506"/>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50A98"/>
    <w:rsid w:val="53C74983"/>
    <w:rsid w:val="53D31177"/>
    <w:rsid w:val="53D4470B"/>
    <w:rsid w:val="53DC6D63"/>
    <w:rsid w:val="53EF0C58"/>
    <w:rsid w:val="53EF5526"/>
    <w:rsid w:val="53F442E3"/>
    <w:rsid w:val="540A698F"/>
    <w:rsid w:val="540E7262"/>
    <w:rsid w:val="54110A2C"/>
    <w:rsid w:val="541240F2"/>
    <w:rsid w:val="543B3618"/>
    <w:rsid w:val="544A027A"/>
    <w:rsid w:val="54506C3F"/>
    <w:rsid w:val="5461247C"/>
    <w:rsid w:val="54676039"/>
    <w:rsid w:val="548258F9"/>
    <w:rsid w:val="548D602A"/>
    <w:rsid w:val="54935BBB"/>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258A2"/>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565CD"/>
    <w:rsid w:val="564134FF"/>
    <w:rsid w:val="564239D9"/>
    <w:rsid w:val="56465132"/>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8027E"/>
    <w:rsid w:val="58FC102D"/>
    <w:rsid w:val="590025FF"/>
    <w:rsid w:val="5905168A"/>
    <w:rsid w:val="5911503F"/>
    <w:rsid w:val="592767A4"/>
    <w:rsid w:val="59307B53"/>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112F1"/>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318"/>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D775B6"/>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EB41F1"/>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15E16"/>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66A7D"/>
    <w:rsid w:val="5DBB1833"/>
    <w:rsid w:val="5DBD4FB2"/>
    <w:rsid w:val="5DC10AA6"/>
    <w:rsid w:val="5DCB38D8"/>
    <w:rsid w:val="5DCC0302"/>
    <w:rsid w:val="5DCC1273"/>
    <w:rsid w:val="5DD720A6"/>
    <w:rsid w:val="5DDC3084"/>
    <w:rsid w:val="5DDD06E5"/>
    <w:rsid w:val="5DE30993"/>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43FAC"/>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0F65F2"/>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B928CA"/>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2EBB"/>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A69A2"/>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5386F"/>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369C0"/>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52E22"/>
    <w:rsid w:val="64ED25B6"/>
    <w:rsid w:val="64ED74A4"/>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630D9"/>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0155C"/>
    <w:rsid w:val="6726021E"/>
    <w:rsid w:val="672915D1"/>
    <w:rsid w:val="672C4366"/>
    <w:rsid w:val="6736595B"/>
    <w:rsid w:val="673F439C"/>
    <w:rsid w:val="673F6043"/>
    <w:rsid w:val="67473121"/>
    <w:rsid w:val="67491781"/>
    <w:rsid w:val="674B4D84"/>
    <w:rsid w:val="674C5C33"/>
    <w:rsid w:val="67595E9D"/>
    <w:rsid w:val="67646A33"/>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94E80"/>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81E44"/>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B2377"/>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8515C"/>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9A069D"/>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83696"/>
    <w:rsid w:val="6E1B7D05"/>
    <w:rsid w:val="6E1F47C1"/>
    <w:rsid w:val="6E200FDC"/>
    <w:rsid w:val="6E356B06"/>
    <w:rsid w:val="6E375C25"/>
    <w:rsid w:val="6E38673F"/>
    <w:rsid w:val="6E3D78C3"/>
    <w:rsid w:val="6E4A7B9A"/>
    <w:rsid w:val="6E606B0D"/>
    <w:rsid w:val="6E760A9C"/>
    <w:rsid w:val="6E787BC7"/>
    <w:rsid w:val="6E7C337E"/>
    <w:rsid w:val="6E85329E"/>
    <w:rsid w:val="6E8E37A3"/>
    <w:rsid w:val="6E9323BA"/>
    <w:rsid w:val="6E9D1E53"/>
    <w:rsid w:val="6EA20087"/>
    <w:rsid w:val="6EB776F8"/>
    <w:rsid w:val="6EB85F03"/>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81B4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207C5"/>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ED02C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6E40AB"/>
    <w:rsid w:val="767107D4"/>
    <w:rsid w:val="767E67CD"/>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E7A96"/>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C8021A"/>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8C5D91"/>
    <w:rsid w:val="79B7133F"/>
    <w:rsid w:val="79B963A4"/>
    <w:rsid w:val="79BA2F94"/>
    <w:rsid w:val="79BC264E"/>
    <w:rsid w:val="79C76293"/>
    <w:rsid w:val="79E57E94"/>
    <w:rsid w:val="79E6205E"/>
    <w:rsid w:val="79E67EB2"/>
    <w:rsid w:val="79E72FBE"/>
    <w:rsid w:val="79E7444C"/>
    <w:rsid w:val="79EE7B9C"/>
    <w:rsid w:val="79F350DF"/>
    <w:rsid w:val="7A061B69"/>
    <w:rsid w:val="7A0C2A78"/>
    <w:rsid w:val="7A0D0808"/>
    <w:rsid w:val="7A12745C"/>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316AE"/>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868A6"/>
    <w:rsid w:val="7B1F2D91"/>
    <w:rsid w:val="7B2727AF"/>
    <w:rsid w:val="7B313BEA"/>
    <w:rsid w:val="7B340070"/>
    <w:rsid w:val="7B3771C6"/>
    <w:rsid w:val="7B446093"/>
    <w:rsid w:val="7B5114E6"/>
    <w:rsid w:val="7B6A1CE7"/>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3A6A6B"/>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246BE"/>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26A66"/>
    <w:rsid w:val="7DA66D82"/>
    <w:rsid w:val="7DB64F6F"/>
    <w:rsid w:val="7DCD7AF7"/>
    <w:rsid w:val="7DDB4B77"/>
    <w:rsid w:val="7DE844D5"/>
    <w:rsid w:val="7DF30062"/>
    <w:rsid w:val="7DF37C1A"/>
    <w:rsid w:val="7DF801A0"/>
    <w:rsid w:val="7DF87DEB"/>
    <w:rsid w:val="7E0A2072"/>
    <w:rsid w:val="7E133C62"/>
    <w:rsid w:val="7E332130"/>
    <w:rsid w:val="7E3C1BB9"/>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99"/>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1938</Words>
  <Characters>11051</Characters>
  <Lines>92</Lines>
  <Paragraphs>25</Paragraphs>
  <TotalTime>3</TotalTime>
  <ScaleCrop>false</ScaleCrop>
  <LinksUpToDate>false</LinksUpToDate>
  <CharactersWithSpaces>12964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Lin Chen</cp:lastModifiedBy>
  <cp:lastPrinted>2009-04-22T01:01:00Z</cp:lastPrinted>
  <dcterms:modified xsi:type="dcterms:W3CDTF">2023-09-29T03:08:37Z</dcterms:modified>
  <dc:title>3GPP TSG-RAN WG2</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